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2" w:rsidRPr="003F7E7B" w:rsidRDefault="007A5D22" w:rsidP="007A5D22">
      <w:pPr>
        <w:spacing w:line="46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3F7E7B">
        <w:rPr>
          <w:rFonts w:asciiTheme="minorEastAsia" w:eastAsiaTheme="minorEastAsia" w:hAnsiTheme="minorEastAsia" w:hint="eastAsia"/>
          <w:b/>
          <w:sz w:val="24"/>
          <w:szCs w:val="24"/>
        </w:rPr>
        <w:t>附</w:t>
      </w:r>
      <w:r w:rsidRPr="003F7E7B">
        <w:rPr>
          <w:rFonts w:asciiTheme="minorEastAsia" w:eastAsiaTheme="minorEastAsia" w:hAnsiTheme="minorEastAsia"/>
          <w:b/>
          <w:sz w:val="24"/>
          <w:szCs w:val="24"/>
        </w:rPr>
        <w:t>件2</w:t>
      </w:r>
      <w:bookmarkStart w:id="0" w:name="_GoBack"/>
      <w:bookmarkEnd w:id="0"/>
    </w:p>
    <w:p w:rsidR="007A5D22" w:rsidRPr="00BC2F41" w:rsidRDefault="007A5D22" w:rsidP="007A5D22">
      <w:pPr>
        <w:rPr>
          <w:rFonts w:asciiTheme="minorEastAsia" w:eastAsiaTheme="minorEastAsia" w:hAnsiTheme="minorEastAsia"/>
          <w:sz w:val="24"/>
          <w:szCs w:val="24"/>
        </w:rPr>
      </w:pPr>
    </w:p>
    <w:p w:rsidR="007A5D22" w:rsidRPr="00BC2F41" w:rsidRDefault="007A5D22" w:rsidP="007A5D22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  <w:u w:color="000000"/>
          <w:lang w:val="zh-TW" w:eastAsia="zh-TW"/>
        </w:rPr>
      </w:pP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1.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“中华经典朗诵”的评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/>
        </w:rPr>
        <w:t>分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标准（5</w:t>
      </w:r>
      <w:r w:rsidRPr="00BC2F41">
        <w:rPr>
          <w:rFonts w:asciiTheme="minorEastAsia" w:eastAsiaTheme="minorEastAsia" w:hAnsiTheme="minorEastAsia"/>
          <w:color w:val="000000"/>
          <w:kern w:val="0"/>
          <w:sz w:val="24"/>
          <w:szCs w:val="24"/>
          <w:u w:color="000000"/>
          <w:lang w:eastAsia="zh-TW"/>
        </w:rPr>
        <w:t>5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分）</w:t>
      </w:r>
    </w:p>
    <w:p w:rsidR="007A5D22" w:rsidRPr="00BC2F41" w:rsidRDefault="007A5D22" w:rsidP="007A5D22">
      <w:pPr>
        <w:spacing w:line="440" w:lineRule="exact"/>
        <w:ind w:firstLineChars="150" w:firstLine="360"/>
        <w:rPr>
          <w:rFonts w:asciiTheme="minorEastAsia" w:eastAsiaTheme="minorEastAsia" w:hAnsiTheme="minorEastAsia"/>
          <w:color w:val="000000"/>
          <w:kern w:val="0"/>
          <w:sz w:val="24"/>
          <w:szCs w:val="24"/>
          <w:u w:color="000000"/>
          <w:lang w:val="zh-TW" w:eastAsia="zh-TW"/>
        </w:rPr>
      </w:pP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“朗诵”主要考察选手理解作品、诠释作品、表达情感的能力与水平。根据现场抽取的中华经典作品（古代、现当代各1篇）进行朗诵。朗诵总时间控制在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/>
        </w:rPr>
        <w:t>6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分钟以内。</w:t>
      </w:r>
    </w:p>
    <w:tbl>
      <w:tblPr>
        <w:tblStyle w:val="TableNormal"/>
        <w:tblW w:w="850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8"/>
        <w:gridCol w:w="1182"/>
        <w:gridCol w:w="3872"/>
        <w:gridCol w:w="616"/>
        <w:gridCol w:w="660"/>
        <w:gridCol w:w="614"/>
        <w:gridCol w:w="660"/>
      </w:tblGrid>
      <w:tr w:rsidR="007A5D22" w:rsidRPr="00BC2F41" w:rsidTr="00851E33">
        <w:trPr>
          <w:trHeight w:val="360"/>
          <w:jc w:val="center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评价标准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等级</w:t>
            </w:r>
          </w:p>
        </w:tc>
      </w:tr>
      <w:tr w:rsidR="007A5D22" w:rsidRPr="00BC2F41" w:rsidTr="00851E33">
        <w:trPr>
          <w:trHeight w:val="300"/>
          <w:jc w:val="center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B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C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D</w:t>
            </w:r>
          </w:p>
        </w:tc>
      </w:tr>
      <w:tr w:rsidR="007A5D22" w:rsidRPr="00BC2F41" w:rsidTr="00851E33">
        <w:trPr>
          <w:trHeight w:val="300"/>
          <w:jc w:val="center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评价</w:t>
            </w:r>
          </w:p>
          <w:p w:rsidR="007A5D22" w:rsidRPr="00BC2F41" w:rsidRDefault="007A5D22" w:rsidP="00851E33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项目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ind w:leftChars="38" w:left="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PPT制作</w:t>
            </w:r>
          </w:p>
          <w:p w:rsidR="007A5D22" w:rsidRPr="00BC2F41" w:rsidRDefault="007A5D22" w:rsidP="00851E33">
            <w:pPr>
              <w:widowControl/>
              <w:spacing w:line="360" w:lineRule="auto"/>
              <w:ind w:leftChars="38" w:left="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10分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22" w:rsidRPr="00BC2F41" w:rsidRDefault="007A5D22" w:rsidP="00851E33">
            <w:pPr>
              <w:widowControl/>
              <w:suppressAutoHyphens/>
              <w:wordWrap w:val="0"/>
              <w:topLinePunct/>
              <w:spacing w:line="360" w:lineRule="auto"/>
              <w:ind w:leftChars="38" w:left="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PPT符合主题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并在体现主题的基础上创意新颖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。</w:t>
            </w: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画面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色彩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文本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声音搭配好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衔接紧凑自然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color="000000"/>
                <w:lang w:val="zh-TW" w:eastAsia="zh-TW"/>
              </w:rPr>
              <w:t>演示过程流畅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9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-10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8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-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7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-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7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</w:rPr>
              <w:t>以下</w:t>
            </w:r>
          </w:p>
        </w:tc>
      </w:tr>
      <w:tr w:rsidR="007A5D22" w:rsidRPr="00BC2F41" w:rsidTr="00851E33">
        <w:trPr>
          <w:trHeight w:val="1658"/>
          <w:jc w:val="center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表达能力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2</w:t>
            </w: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0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分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语音标准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发音清晰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音量适中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语调自然和谐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表达准确流畅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情感真挚饱满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节奏把握得当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1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9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-2</w:t>
            </w: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1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8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-</w:t>
            </w: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1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1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7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-</w:t>
            </w: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1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u w:color="000000"/>
              </w:rPr>
              <w:t>1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7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以下</w:t>
            </w:r>
          </w:p>
        </w:tc>
      </w:tr>
      <w:tr w:rsidR="007A5D22" w:rsidRPr="00BC2F41" w:rsidTr="00851E33">
        <w:trPr>
          <w:trHeight w:val="1812"/>
          <w:jc w:val="center"/>
        </w:trPr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感受能力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25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分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基调把握得当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仪态自然大方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形式富有创意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整体和谐自然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23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-25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21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-23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19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-21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19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以下</w:t>
            </w:r>
          </w:p>
        </w:tc>
      </w:tr>
    </w:tbl>
    <w:p w:rsidR="007A5D22" w:rsidRPr="00BC2F41" w:rsidRDefault="007A5D22" w:rsidP="007A5D22">
      <w:pPr>
        <w:rPr>
          <w:rFonts w:asciiTheme="minorEastAsia" w:eastAsiaTheme="minorEastAsia" w:hAnsiTheme="minorEastAsia"/>
          <w:sz w:val="24"/>
          <w:szCs w:val="24"/>
        </w:rPr>
      </w:pPr>
    </w:p>
    <w:p w:rsidR="007A5D22" w:rsidRPr="00BC2F41" w:rsidRDefault="007A5D22" w:rsidP="007A5D22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</w:rPr>
      </w:pPr>
      <w:r w:rsidRPr="00BC2F41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</w:rPr>
        <w:t>2.</w:t>
      </w:r>
      <w:r w:rsidRPr="00BC2F41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  <w:u w:color="000000"/>
        </w:rPr>
        <w:t>“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即兴演讲</w:t>
      </w:r>
      <w:r w:rsidRPr="00BC2F41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  <w:u w:color="000000"/>
        </w:rPr>
        <w:t>”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的评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/>
        </w:rPr>
        <w:t>分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标准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（</w:t>
      </w:r>
      <w:r w:rsidRPr="00BC2F41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</w:rPr>
        <w:t>45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分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）</w:t>
      </w:r>
    </w:p>
    <w:p w:rsidR="007A5D22" w:rsidRPr="00BC2F41" w:rsidRDefault="007A5D22" w:rsidP="007A5D22">
      <w:pPr>
        <w:widowControl/>
        <w:spacing w:line="360" w:lineRule="auto"/>
        <w:ind w:firstLineChars="150" w:firstLine="360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</w:rPr>
      </w:pPr>
      <w:r w:rsidRPr="00BC2F41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</w:rPr>
        <w:t>“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即兴演讲</w:t>
      </w:r>
      <w:r w:rsidRPr="00BC2F41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</w:rPr>
        <w:t>”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主要考察大学生即兴表达的语言能力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：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包括即兴演讲时立意的高度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、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知识的广度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、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思想的深度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、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思维的敏锐度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。</w:t>
      </w:r>
    </w:p>
    <w:p w:rsidR="007A5D22" w:rsidRPr="00BC2F41" w:rsidRDefault="007A5D22" w:rsidP="007A5D22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</w:rPr>
      </w:pP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根据抽取的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/>
        </w:rPr>
        <w:t>即兴演讲主题句</w:t>
      </w:r>
      <w:r w:rsidRPr="00BC2F41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  <w:lang w:val="zh-TW" w:eastAsia="zh-TW"/>
        </w:rPr>
        <w:t>，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明确主题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，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自拟题目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，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进行即兴演讲</w:t>
      </w:r>
      <w:r w:rsidRPr="00BC2F41">
        <w:rPr>
          <w:rFonts w:asciiTheme="minorEastAsia" w:eastAsiaTheme="minorEastAsia" w:hAnsiTheme="minorEastAsia" w:cs="Malgun Gothic Semilight" w:hint="eastAsia"/>
          <w:color w:val="000000"/>
          <w:kern w:val="0"/>
          <w:sz w:val="24"/>
          <w:szCs w:val="24"/>
          <w:u w:color="000000"/>
          <w:lang w:val="zh-TW" w:eastAsia="zh-TW"/>
        </w:rPr>
        <w:t>，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FF0000"/>
          <w:lang w:val="zh-TW" w:eastAsia="zh-TW"/>
        </w:rPr>
        <w:t>时间控制在</w:t>
      </w:r>
      <w:r w:rsidRPr="00BC2F41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FF0000"/>
        </w:rPr>
        <w:t>3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FF0000"/>
          <w:lang w:val="zh-TW" w:eastAsia="zh-TW"/>
        </w:rPr>
        <w:t>分钟之内</w:t>
      </w:r>
      <w:r w:rsidRPr="00BC2F41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000000"/>
          <w:lang w:val="zh-TW" w:eastAsia="zh-TW"/>
        </w:rPr>
        <w:t>，</w:t>
      </w:r>
      <w:r w:rsidRPr="00BC2F4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color="000000"/>
          <w:lang w:val="zh-TW" w:eastAsia="zh-TW"/>
        </w:rPr>
        <w:t>要求脱稿</w:t>
      </w:r>
      <w:r w:rsidRPr="00BC2F41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  <w:u w:color="FF0000"/>
          <w:lang w:val="zh-TW" w:eastAsia="zh-TW"/>
        </w:rPr>
        <w:t>。</w:t>
      </w:r>
    </w:p>
    <w:tbl>
      <w:tblPr>
        <w:tblStyle w:val="TableNormal1"/>
        <w:tblW w:w="83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2"/>
        <w:gridCol w:w="1230"/>
        <w:gridCol w:w="3646"/>
        <w:gridCol w:w="645"/>
        <w:gridCol w:w="645"/>
        <w:gridCol w:w="645"/>
        <w:gridCol w:w="645"/>
      </w:tblGrid>
      <w:tr w:rsidR="007A5D22" w:rsidRPr="00BC2F41" w:rsidTr="00851E33">
        <w:trPr>
          <w:trHeight w:val="360"/>
          <w:jc w:val="center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评价标准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等级</w:t>
            </w:r>
          </w:p>
        </w:tc>
      </w:tr>
      <w:tr w:rsidR="007A5D22" w:rsidRPr="00BC2F41" w:rsidTr="00851E33">
        <w:trPr>
          <w:trHeight w:val="163"/>
          <w:jc w:val="center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B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C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D</w:t>
            </w:r>
          </w:p>
        </w:tc>
      </w:tr>
      <w:tr w:rsidR="007A5D22" w:rsidRPr="00BC2F41" w:rsidTr="00851E33">
        <w:trPr>
          <w:trHeight w:val="1702"/>
          <w:jc w:val="center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lastRenderedPageBreak/>
              <w:t>评价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项目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内容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15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观点明确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内容切题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论据贴切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分析到位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联系实际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有感而发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结构完整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条理清晰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14-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13-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12-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12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以下</w:t>
            </w:r>
          </w:p>
        </w:tc>
      </w:tr>
      <w:tr w:rsidR="007A5D22" w:rsidRPr="00BC2F41" w:rsidTr="00851E33">
        <w:trPr>
          <w:trHeight w:val="1618"/>
          <w:jc w:val="center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表达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20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语音标准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用语规范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节奏合理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表达流畅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表现力强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有感染力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思维敏捷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应变力强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19-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18-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17-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17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以下</w:t>
            </w:r>
          </w:p>
        </w:tc>
      </w:tr>
      <w:tr w:rsidR="007A5D22" w:rsidRPr="00BC2F41" w:rsidTr="00851E33">
        <w:trPr>
          <w:trHeight w:val="698"/>
          <w:jc w:val="center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仪态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仪态大方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动作适度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表情自然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情声协调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4.5-5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4-4.5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  <w:lang w:val="zh-TW" w:eastAsia="zh-TW"/>
              </w:rPr>
              <w:t>．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5-4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3.5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以下</w:t>
            </w:r>
          </w:p>
        </w:tc>
      </w:tr>
      <w:tr w:rsidR="007A5D22" w:rsidRPr="00BC2F41" w:rsidTr="00851E33">
        <w:trPr>
          <w:trHeight w:val="856"/>
          <w:jc w:val="center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22" w:rsidRPr="00BC2F41" w:rsidRDefault="007A5D22" w:rsidP="00851E33">
            <w:pPr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整体效果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话语自然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表现力强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；</w:t>
            </w:r>
          </w:p>
          <w:p w:rsidR="007A5D22" w:rsidRPr="00BC2F41" w:rsidRDefault="007A5D22" w:rsidP="00851E3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举止得体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，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自然大方</w:t>
            </w:r>
            <w:r w:rsidRPr="00BC2F41">
              <w:rPr>
                <w:rFonts w:asciiTheme="minorEastAsia" w:eastAsiaTheme="minorEastAsia" w:hAnsiTheme="minorEastAsia" w:cs="Malgun Gothic Semilight" w:hint="eastAsia"/>
                <w:color w:val="000000"/>
                <w:sz w:val="24"/>
                <w:szCs w:val="24"/>
                <w:u w:color="000000"/>
                <w:lang w:val="zh-TW" w:eastAsia="zh-TW"/>
              </w:rPr>
              <w:t>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4.5-5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4-4.5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  <w:lang w:val="zh-TW" w:eastAsia="zh-TW"/>
              </w:rPr>
              <w:t>．</w:t>
            </w: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5-4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22" w:rsidRPr="00BC2F41" w:rsidRDefault="007A5D22" w:rsidP="00851E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</w:pPr>
            <w:r w:rsidRPr="00BC2F4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u w:color="000000"/>
              </w:rPr>
              <w:t>3.5</w:t>
            </w:r>
            <w:r w:rsidRPr="00BC2F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color="000000"/>
                <w:lang w:val="zh-TW" w:eastAsia="zh-TW"/>
              </w:rPr>
              <w:t>以下</w:t>
            </w:r>
          </w:p>
        </w:tc>
      </w:tr>
    </w:tbl>
    <w:p w:rsidR="007A5D22" w:rsidRPr="00BC2F41" w:rsidRDefault="007A5D22" w:rsidP="007A5D22">
      <w:pPr>
        <w:rPr>
          <w:rFonts w:asciiTheme="minorEastAsia" w:eastAsiaTheme="minorEastAsia" w:hAnsiTheme="minorEastAsia"/>
          <w:sz w:val="24"/>
          <w:szCs w:val="24"/>
        </w:rPr>
      </w:pPr>
    </w:p>
    <w:p w:rsidR="007A5D22" w:rsidRPr="00BC2F41" w:rsidRDefault="007A5D22" w:rsidP="007A5D22">
      <w:pPr>
        <w:rPr>
          <w:rFonts w:asciiTheme="minorEastAsia" w:eastAsiaTheme="minorEastAsia" w:hAnsiTheme="minorEastAsia"/>
          <w:sz w:val="24"/>
          <w:szCs w:val="24"/>
        </w:rPr>
      </w:pPr>
    </w:p>
    <w:p w:rsidR="00AB29C9" w:rsidRDefault="00DF5760"/>
    <w:sectPr w:rsidR="00AB29C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60" w:rsidRDefault="00DF5760" w:rsidP="007A5D22">
      <w:r>
        <w:separator/>
      </w:r>
    </w:p>
  </w:endnote>
  <w:endnote w:type="continuationSeparator" w:id="0">
    <w:p w:rsidR="00DF5760" w:rsidRDefault="00DF5760" w:rsidP="007A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60" w:rsidRDefault="00DF5760" w:rsidP="007A5D22">
      <w:r>
        <w:separator/>
      </w:r>
    </w:p>
  </w:footnote>
  <w:footnote w:type="continuationSeparator" w:id="0">
    <w:p w:rsidR="00DF5760" w:rsidRDefault="00DF5760" w:rsidP="007A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EB"/>
    <w:rsid w:val="002720EB"/>
    <w:rsid w:val="007015F7"/>
    <w:rsid w:val="00757C36"/>
    <w:rsid w:val="007A5D22"/>
    <w:rsid w:val="00D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2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D22"/>
    <w:rPr>
      <w:sz w:val="18"/>
      <w:szCs w:val="18"/>
    </w:rPr>
  </w:style>
  <w:style w:type="table" w:customStyle="1" w:styleId="TableNormal">
    <w:name w:val="Table Normal"/>
    <w:qFormat/>
    <w:rsid w:val="007A5D2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rsid w:val="007A5D2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2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D22"/>
    <w:rPr>
      <w:sz w:val="18"/>
      <w:szCs w:val="18"/>
    </w:rPr>
  </w:style>
  <w:style w:type="table" w:customStyle="1" w:styleId="TableNormal">
    <w:name w:val="Table Normal"/>
    <w:qFormat/>
    <w:rsid w:val="007A5D2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rsid w:val="007A5D2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上海财经大学浙江学院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王英</cp:lastModifiedBy>
  <cp:revision>2</cp:revision>
  <dcterms:created xsi:type="dcterms:W3CDTF">2019-03-20T03:40:00Z</dcterms:created>
  <dcterms:modified xsi:type="dcterms:W3CDTF">2019-03-20T03:40:00Z</dcterms:modified>
</cp:coreProperties>
</file>